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Книгоиздательское дело</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«Книгоиздательское 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42.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Книга как явление материальной культуры, внешние и внутренние элементы книги. Содержательный аппарат книги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стандарты и единицы измерения издательской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система издательского дела в России. Виды издательств. Структура универсального книжного издательства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этапы редакционно-издательского процесса в книжном издательстве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редактора в редакционно-издательском процессе. Редактор и автор</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закономерность возрастания роли редактора в условиях рыночной экономики.</w:t>
            </w:r>
          </w:p>
          <w:p>
            <w:pPr>
              <w:jc w:val="both"/>
              <w:spacing w:after="0" w:line="240" w:lineRule="auto"/>
              <w:rPr>
                <w:sz w:val="24"/>
                <w:szCs w:val="24"/>
              </w:rPr>
            </w:pPr>
            <w:r>
              <w:rPr>
                <w:rFonts w:ascii="Times New Roman" w:hAnsi="Times New Roman" w:cs="Times New Roman"/>
                <w:color w:val="#000000"/>
                <w:sz w:val="24"/>
                <w:szCs w:val="24"/>
              </w:rPr>
              <w:t> 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об авторском праве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издательском деле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издательском деле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книга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pPr>
              <w:jc w:val="both"/>
              <w:spacing w:after="0" w:line="240" w:lineRule="auto"/>
              <w:rPr>
                <w:sz w:val="24"/>
                <w:szCs w:val="24"/>
              </w:rPr>
            </w:pPr>
            <w:r>
              <w:rPr>
                <w:rFonts w:ascii="Times New Roman" w:hAnsi="Times New Roman" w:cs="Times New Roman"/>
                <w:color w:val="#000000"/>
                <w:sz w:val="24"/>
                <w:szCs w:val="24"/>
              </w:rPr>
              <w:t> Оценка прогнозов о будущем книги. Средний тираж российских изданий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современного российского и зарубежного издательского дела</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«Книгоиздательское дело» / Евдокимов 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Книговедение.</w:t>
            </w:r>
            <w:r>
              <w:rPr/>
              <w:t xml:space="preserve"> </w:t>
            </w:r>
            <w:r>
              <w:rPr>
                <w:rFonts w:ascii="Times New Roman" w:hAnsi="Times New Roman" w:cs="Times New Roman"/>
                <w:color w:val="#000000"/>
                <w:sz w:val="24"/>
                <w:szCs w:val="24"/>
              </w:rPr>
              <w:t>Библиографоведение.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Куфаев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https://urait.ru/bcode/409328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книговедения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Ловягин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https://urait.ru/bcode/457032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издательского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2023-2024_ФГОС3++2023_Бак-ОФО-Жур(23)_plx_Книгоиздательское дело</dc:title>
  <dc:creator>FastReport.NET</dc:creator>
</cp:coreProperties>
</file>